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黑体" w:cs="黑体" w:hAnsi="黑体" w:eastAsia="黑体"/>
          <w:b w:val="1"/>
          <w:bCs w:val="1"/>
          <w:sz w:val="36"/>
          <w:szCs w:val="36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学院基本情况</w:t>
      </w:r>
    </w:p>
    <w:p>
      <w:pPr>
        <w:pStyle w:val="Normal.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、学院办学理念：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增能力、强体魄、提素质、筑基础。</w:t>
      </w:r>
    </w:p>
    <w:p>
      <w:pPr>
        <w:pStyle w:val="Normal.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、教师结构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全院教职工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71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人，专任教师（专职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+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兼职）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144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人，专职教师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63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人，兼职教师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81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人，行政管理人员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人，实验技术人员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5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人。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外语教研室：专职教师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28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人，兼职教师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4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人，教辅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人；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体育教研室：专职教师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人，兼职教师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5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人，教辅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人；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医用物理与数学教研室：专职教师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10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人，兼职教师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人，教辅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人；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创新创业与职业发展教研室：专职教师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人，兼职教师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69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人。</w:t>
      </w:r>
    </w:p>
    <w:p>
      <w:pPr>
        <w:pStyle w:val="Normal.0"/>
        <w:spacing w:line="520" w:lineRule="exact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、基本设施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数字多媒体语言实验室：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8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 xml:space="preserve">间 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x 72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座位；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体育教学场地（新老校区共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2.79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万平方米）；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个田径场地、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个室内体育馆、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18+4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个篮球场、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个排球场、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个网球场；</w:t>
      </w:r>
    </w:p>
    <w:p>
      <w:pPr>
        <w:pStyle w:val="Normal.0"/>
        <w:spacing w:line="520" w:lineRule="exact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物理实验室：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5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间。</w:t>
      </w:r>
    </w:p>
    <w:p>
      <w:pPr>
        <w:pStyle w:val="Normal.0"/>
        <w:widowControl w:val="1"/>
        <w:jc w:val="left"/>
      </w:pPr>
      <w:r>
        <w:rPr>
          <w:rFonts w:ascii="仿宋" w:cs="仿宋" w:hAnsi="仿宋" w:eastAsia="仿宋"/>
          <w:sz w:val="28"/>
          <w:szCs w:val="28"/>
        </w:rPr>
        <w:br w:type="page"/>
      </w:r>
    </w:p>
    <w:p>
      <w:pPr>
        <w:pStyle w:val="Normal.0"/>
        <w:jc w:val="center"/>
        <w:rPr>
          <w:rFonts w:ascii="黑体" w:cs="黑体" w:hAnsi="黑体" w:eastAsia="黑体"/>
          <w:b w:val="1"/>
          <w:bCs w:val="1"/>
          <w:sz w:val="36"/>
          <w:szCs w:val="36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公共基础教学</w:t>
      </w:r>
    </w:p>
    <w:p>
      <w:pPr>
        <w:pStyle w:val="Normal.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、公共基础教学办学思路：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特色发展、强基固本，实现学校人才培养总目标。</w:t>
      </w:r>
    </w:p>
    <w:p>
      <w:pPr>
        <w:pStyle w:val="Normal.0"/>
        <w:spacing w:line="520" w:lineRule="exact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、教学改革措施</w:t>
      </w:r>
    </w:p>
    <w:p>
      <w:pPr>
        <w:pStyle w:val="Normal.0"/>
        <w:spacing w:line="520" w:lineRule="exact"/>
        <w:ind w:firstLine="562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）体育课程教学俱乐部制改革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，成立篮球、足球、排球、手球等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个体育俱乐部，体质健康测试达标率提升至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92%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；</w:t>
      </w:r>
    </w:p>
    <w:p>
      <w:pPr>
        <w:pStyle w:val="Normal.0"/>
        <w:spacing w:line="520" w:lineRule="exact"/>
        <w:ind w:firstLine="562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）英语一本口语教学改革，专业英语改革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，建立分级题库，学生四级英语整体通过率保持在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82%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以上，全校一次通过率在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35%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左右。</w:t>
      </w:r>
    </w:p>
    <w:p>
      <w:pPr>
        <w:pStyle w:val="Normal.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、开设课程：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1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）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外语：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大学英语、心理英语、专业英语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；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）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体育：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大学体育（篮球、足球、排球、羽毛球、乒乓球、网球、健美操、武术、太极、跆拳道、手球、体育舞蹈、瑜伽）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；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）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医用物理与数学：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大学物理、医学物理学、线性代数、概率论与数理统计、高等数学、高等数学（微积分）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；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4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）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创新创业：</w:t>
      </w:r>
      <w:bookmarkStart w:name="_Hlk531250604" w:id="0"/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大学生职业发展与就业指导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bookmarkEnd w:id="0"/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。</w:t>
      </w:r>
    </w:p>
    <w:p>
      <w:pPr>
        <w:pStyle w:val="Normal.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、教师各类教学竞赛获奖情况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获省级及以上一等奖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项，校级一等奖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，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获各类二等奖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10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，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10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项。</w:t>
      </w:r>
    </w:p>
    <w:p>
      <w:pPr>
        <w:pStyle w:val="Normal.0"/>
      </w:pPr>
    </w:p>
    <w:p>
      <w:pPr>
        <w:pStyle w:val="Normal.0"/>
        <w:widowControl w:val="1"/>
        <w:jc w:val="left"/>
      </w:pPr>
      <w:r>
        <w:br w:type="page"/>
      </w:r>
    </w:p>
    <w:p>
      <w:pPr>
        <w:pStyle w:val="Normal.0"/>
        <w:jc w:val="center"/>
        <w:rPr>
          <w:rFonts w:ascii="黑体" w:cs="黑体" w:hAnsi="黑体" w:eastAsia="黑体"/>
          <w:b w:val="1"/>
          <w:bCs w:val="1"/>
          <w:sz w:val="36"/>
          <w:szCs w:val="36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创新创业工作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创新创业工作思路</w:t>
      </w:r>
    </w:p>
    <w:p>
      <w:pPr>
        <w:pStyle w:val="List Paragraph"/>
        <w:ind w:left="720" w:firstLine="0"/>
        <w:rPr>
          <w:rFonts w:ascii="仿宋" w:cs="仿宋" w:hAnsi="仿宋" w:eastAsia="仿宋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制度为保障、课程为基础、实践为平台、竞赛为抓手。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创新创业工作举措</w:t>
      </w:r>
    </w:p>
    <w:p>
      <w:pPr>
        <w:pStyle w:val="Normal.0"/>
        <w:ind w:left="562" w:firstLine="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）制度为保障：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8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项；</w:t>
      </w:r>
    </w:p>
    <w:p>
      <w:pPr>
        <w:pStyle w:val="Normal.0"/>
        <w:ind w:left="562" w:firstLine="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）课程为基础：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必修课：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门（职业发展与就业指导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）；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网络必修课：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门（《创新思维训练》、《大学生创业导论》）；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选修课：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20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余门（线上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+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线下）；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近三年举办讲座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45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场；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）实践为平台：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大学生创新创业项目训练、科研兴趣小组；</w:t>
      </w:r>
    </w:p>
    <w:p>
      <w:pPr>
        <w:pStyle w:val="Normal.0"/>
        <w:ind w:firstLine="562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）竞赛为抓手：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创新创业类大赛：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国家级、省级创新创业类大赛（包含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“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互联网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+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”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创新创业大赛、大学生职业规划设计大赛暨大学生创业大赛、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“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创青春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”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全国大学生创业大赛、挑战杯大学生课外学术科技作品竞赛、安徽省百所高校百万大学生科普创意创新大赛），市级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比赛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为芜湖市大学生专利创新创业大赛</w:t>
      </w:r>
      <w:r>
        <w:rPr>
          <w:rFonts w:ascii="仿宋" w:cs="仿宋" w:hAnsi="仿宋" w:eastAsia="仿宋"/>
          <w:sz w:val="28"/>
          <w:szCs w:val="28"/>
          <w:rtl w:val="0"/>
          <w:lang w:val="zh-CN" w:eastAsia="zh-CN"/>
        </w:rPr>
        <w:t>；</w:t>
      </w:r>
    </w:p>
    <w:p>
      <w:pPr>
        <w:pStyle w:val="Normal.0"/>
        <w:ind w:firstLine="562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专业技能类竞赛：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大学生临床技能竞赛、护理本科技能大赛、麻醉学知识竞赛、药学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/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中药学专业大学生实验技能竞赛、药学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/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中药学大学生创新创业暨实验教学改革大赛、大学生生物标本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/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动植物标本制作大赛、医学检验技术专业大学生形态读片大赛、大数据技术与应用大赛等。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创新创业类大赛获奖情况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近三年共获国家级二等奖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项，省级一等奖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7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38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项，市级唯一金奖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项，特等奖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7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25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专业竞赛列获奖情况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近三年共获国家级特等奖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4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7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项，省级特等奖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项、三等奖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3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项。</w:t>
      </w:r>
    </w:p>
    <w:p>
      <w:pPr>
        <w:pStyle w:val="Normal.0"/>
        <w:widowControl w:val="1"/>
        <w:jc w:val="left"/>
      </w:pPr>
      <w:r>
        <w:rPr>
          <w:rFonts w:ascii="黑体" w:cs="黑体" w:hAnsi="黑体" w:eastAsia="黑体"/>
          <w:b w:val="1"/>
          <w:bCs w:val="1"/>
          <w:sz w:val="36"/>
          <w:szCs w:val="36"/>
        </w:rPr>
        <w:br w:type="page"/>
      </w:r>
    </w:p>
    <w:p>
      <w:pPr>
        <w:pStyle w:val="Normal.0"/>
        <w:jc w:val="center"/>
        <w:rPr>
          <w:rFonts w:ascii="黑体" w:cs="黑体" w:hAnsi="黑体" w:eastAsia="黑体"/>
          <w:b w:val="1"/>
          <w:bCs w:val="1"/>
          <w:sz w:val="36"/>
          <w:szCs w:val="36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学生体育工作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学生体育工作工作思路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  <w:lang w:val="zh-TW" w:eastAsia="zh-TW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以学生兴趣为导向，教学内容个性化、教学形式多样化、教学评价过程化、课内课外一体化。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体育获奖情况</w:t>
      </w:r>
      <w:r>
        <w:rPr>
          <w:rFonts w:ascii="仿宋" w:cs="仿宋" w:hAnsi="仿宋" w:eastAsia="仿宋"/>
          <w:b w:val="0"/>
          <w:bCs w:val="0"/>
          <w:sz w:val="28"/>
          <w:szCs w:val="28"/>
          <w:rtl w:val="0"/>
          <w:lang w:val="zh-TW" w:eastAsia="zh-TW"/>
        </w:rPr>
        <w:t>（大学生运动会以及各类体育专项比赛，统计截止</w:t>
      </w:r>
      <w:r>
        <w:rPr>
          <w:rFonts w:ascii="仿宋" w:cs="仿宋" w:hAnsi="仿宋" w:eastAsia="仿宋"/>
          <w:b w:val="0"/>
          <w:bCs w:val="0"/>
          <w:sz w:val="28"/>
          <w:szCs w:val="28"/>
          <w:rtl w:val="0"/>
          <w:lang w:val="zh-TW" w:eastAsia="zh-TW"/>
        </w:rPr>
        <w:t>于</w:t>
      </w:r>
      <w:r>
        <w:rPr>
          <w:rFonts w:ascii="仿宋" w:cs="仿宋" w:hAnsi="仿宋" w:eastAsia="仿宋"/>
          <w:b w:val="0"/>
          <w:bCs w:val="0"/>
          <w:sz w:val="28"/>
          <w:szCs w:val="28"/>
          <w:rtl w:val="0"/>
          <w:lang w:val="en-US"/>
        </w:rPr>
        <w:t>2018</w:t>
      </w:r>
      <w:r>
        <w:rPr>
          <w:rFonts w:ascii="仿宋" w:cs="仿宋" w:hAnsi="仿宋" w:eastAsia="仿宋"/>
          <w:b w:val="0"/>
          <w:bCs w:val="0"/>
          <w:sz w:val="28"/>
          <w:szCs w:val="28"/>
          <w:rtl w:val="0"/>
          <w:lang w:val="zh-TW" w:eastAsia="zh-TW"/>
        </w:rPr>
        <w:t>年</w:t>
      </w:r>
      <w:r>
        <w:rPr>
          <w:rFonts w:ascii="仿宋" w:cs="仿宋" w:hAnsi="仿宋" w:eastAsia="仿宋"/>
          <w:b w:val="0"/>
          <w:bCs w:val="0"/>
          <w:sz w:val="28"/>
          <w:szCs w:val="28"/>
          <w:rtl w:val="0"/>
          <w:lang w:val="en-US"/>
        </w:rPr>
        <w:t>10</w:t>
      </w:r>
      <w:r>
        <w:rPr>
          <w:rFonts w:ascii="仿宋" w:cs="仿宋" w:hAnsi="仿宋" w:eastAsia="仿宋"/>
          <w:b w:val="0"/>
          <w:bCs w:val="0"/>
          <w:sz w:val="28"/>
          <w:szCs w:val="28"/>
          <w:rtl w:val="0"/>
          <w:lang w:val="zh-TW" w:eastAsia="zh-TW"/>
        </w:rPr>
        <w:t>月）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省级及以上比赛一等奖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40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41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26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项。其中金牌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10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枚，银牌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14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枚，铜牌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16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枚。</w:t>
      </w:r>
    </w:p>
    <w:p>
      <w:pPr>
        <w:pStyle w:val="Normal.0"/>
        <w:jc w:val="center"/>
        <w:rPr>
          <w:rFonts w:ascii="黑体" w:cs="黑体" w:hAnsi="黑体" w:eastAsia="黑体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仿宋" w:cs="仿宋" w:hAnsi="仿宋" w:eastAsia="仿宋"/>
          <w:sz w:val="28"/>
          <w:szCs w:val="28"/>
          <w:lang w:val="zh-TW" w:eastAsia="zh-TW"/>
        </w:rPr>
      </w:pPr>
      <w:r>
        <w:rPr>
          <w:rFonts w:ascii="黑体" w:cs="黑体" w:hAnsi="黑体" w:eastAsia="黑体"/>
          <w:b w:val="1"/>
          <w:bCs w:val="1"/>
          <w:sz w:val="36"/>
          <w:szCs w:val="36"/>
          <w:rtl w:val="0"/>
          <w:lang w:val="zh-TW" w:eastAsia="zh-TW"/>
        </w:rPr>
        <w:t>外语比赛获奖情况</w:t>
      </w:r>
    </w:p>
    <w:p>
      <w:pPr>
        <w:pStyle w:val="Normal.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外研社杯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英语竞赛获奖情况（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20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15-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20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17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年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</w:t>
      </w:r>
    </w:p>
    <w:p>
      <w:pPr>
        <w:pStyle w:val="Normal.0"/>
        <w:ind w:firstLine="560"/>
        <w:rPr>
          <w:rFonts w:ascii="仿宋" w:cs="仿宋" w:hAnsi="仿宋" w:eastAsia="仿宋"/>
          <w:sz w:val="28"/>
          <w:szCs w:val="28"/>
        </w:rPr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省级一等奖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项，二等奖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项，三等奖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4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项。</w:t>
      </w:r>
    </w:p>
    <w:p>
      <w:pPr>
        <w:pStyle w:val="Normal.0"/>
        <w:rPr>
          <w:rFonts w:ascii="仿宋" w:cs="仿宋" w:hAnsi="仿宋" w:eastAsia="仿宋"/>
          <w:b w:val="1"/>
          <w:bCs w:val="1"/>
          <w:sz w:val="28"/>
          <w:szCs w:val="28"/>
        </w:rPr>
      </w:pP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、大学生英语竞赛获奖情况（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20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15-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20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en-US"/>
        </w:rPr>
        <w:t>17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CN" w:eastAsia="zh-CN"/>
        </w:rPr>
        <w:t>年</w:t>
      </w:r>
      <w:r>
        <w:rPr>
          <w:rFonts w:ascii="仿宋" w:cs="仿宋" w:hAnsi="仿宋" w:eastAsia="仿宋"/>
          <w:b w:val="1"/>
          <w:bCs w:val="1"/>
          <w:sz w:val="28"/>
          <w:szCs w:val="28"/>
          <w:rtl w:val="0"/>
          <w:lang w:val="zh-TW" w:eastAsia="zh-TW"/>
        </w:rPr>
        <w:t>）</w:t>
      </w:r>
    </w:p>
    <w:p>
      <w:pPr>
        <w:pStyle w:val="List Paragraph"/>
        <w:ind w:left="720" w:firstLine="0"/>
      </w:pP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省级特等奖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2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项，一等奖</w:t>
      </w:r>
      <w:r>
        <w:rPr>
          <w:rFonts w:ascii="仿宋" w:cs="仿宋" w:hAnsi="仿宋" w:eastAsia="仿宋"/>
          <w:sz w:val="28"/>
          <w:szCs w:val="28"/>
          <w:rtl w:val="0"/>
          <w:lang w:val="en-US"/>
        </w:rPr>
        <w:t>15</w:t>
      </w:r>
      <w:r>
        <w:rPr>
          <w:rFonts w:ascii="仿宋" w:cs="仿宋" w:hAnsi="仿宋" w:eastAsia="仿宋"/>
          <w:sz w:val="28"/>
          <w:szCs w:val="28"/>
          <w:rtl w:val="0"/>
          <w:lang w:val="zh-TW" w:eastAsia="zh-TW"/>
        </w:rPr>
        <w:t>项。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  <w:font w:name="黑体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